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FF1" w:rsidRDefault="00AD4948" w:rsidP="00C830BA">
      <w:pPr>
        <w:jc w:val="right"/>
      </w:pPr>
      <w:r w:rsidRPr="00A66062">
        <w:rPr>
          <w:noProof/>
          <w:color w:val="FF3399"/>
          <w:lang w:eastAsia="es-ES"/>
        </w:rPr>
        <w:drawing>
          <wp:inline distT="0" distB="0" distL="0" distR="0">
            <wp:extent cx="9361415" cy="5618602"/>
            <wp:effectExtent l="19050" t="0" r="11185" b="1148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744844" w:rsidRDefault="00744844" w:rsidP="00C830BA">
      <w:pPr>
        <w:jc w:val="right"/>
      </w:pPr>
    </w:p>
    <w:sectPr w:rsidR="00744844" w:rsidSect="0074484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D4948"/>
    <w:rsid w:val="00020F15"/>
    <w:rsid w:val="000810FF"/>
    <w:rsid w:val="000D6EB8"/>
    <w:rsid w:val="000E472A"/>
    <w:rsid w:val="00103313"/>
    <w:rsid w:val="001244A6"/>
    <w:rsid w:val="00194E43"/>
    <w:rsid w:val="001D7FE4"/>
    <w:rsid w:val="002156D7"/>
    <w:rsid w:val="002A0F9C"/>
    <w:rsid w:val="002A211C"/>
    <w:rsid w:val="003172DA"/>
    <w:rsid w:val="003451E9"/>
    <w:rsid w:val="003C0D97"/>
    <w:rsid w:val="0041221B"/>
    <w:rsid w:val="004231F7"/>
    <w:rsid w:val="0044009C"/>
    <w:rsid w:val="0047738D"/>
    <w:rsid w:val="00497FF1"/>
    <w:rsid w:val="004D670D"/>
    <w:rsid w:val="00501FE5"/>
    <w:rsid w:val="00525FE8"/>
    <w:rsid w:val="00526BFB"/>
    <w:rsid w:val="00527D60"/>
    <w:rsid w:val="00584AC7"/>
    <w:rsid w:val="00587517"/>
    <w:rsid w:val="0059448B"/>
    <w:rsid w:val="006406E7"/>
    <w:rsid w:val="006B21CB"/>
    <w:rsid w:val="00744844"/>
    <w:rsid w:val="00746B36"/>
    <w:rsid w:val="00753A36"/>
    <w:rsid w:val="00753EDF"/>
    <w:rsid w:val="007F740A"/>
    <w:rsid w:val="00803BAA"/>
    <w:rsid w:val="00832E2F"/>
    <w:rsid w:val="00953724"/>
    <w:rsid w:val="009B4A17"/>
    <w:rsid w:val="009F7E8E"/>
    <w:rsid w:val="00A14900"/>
    <w:rsid w:val="00A66062"/>
    <w:rsid w:val="00A711C6"/>
    <w:rsid w:val="00A96F4B"/>
    <w:rsid w:val="00AD4948"/>
    <w:rsid w:val="00B214D7"/>
    <w:rsid w:val="00B65FC6"/>
    <w:rsid w:val="00C830BA"/>
    <w:rsid w:val="00CF0657"/>
    <w:rsid w:val="00D20518"/>
    <w:rsid w:val="00D46AAE"/>
    <w:rsid w:val="00DD1BC4"/>
    <w:rsid w:val="00DE1287"/>
    <w:rsid w:val="00E45755"/>
    <w:rsid w:val="00E6713A"/>
    <w:rsid w:val="00F83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FF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D4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49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ES"/>
  <c:chart>
    <c:plotArea>
      <c:layout>
        <c:manualLayout>
          <c:layoutTarget val="inner"/>
          <c:xMode val="edge"/>
          <c:yMode val="edge"/>
          <c:x val="4.5545678724850845E-2"/>
          <c:y val="1.5633604231088196E-2"/>
          <c:w val="0.89728337008881676"/>
          <c:h val="0.8216623992943437"/>
        </c:manualLayout>
      </c:layout>
      <c:lineChart>
        <c:grouping val="standard"/>
        <c:ser>
          <c:idx val="0"/>
          <c:order val="0"/>
          <c:tx>
            <c:strRef>
              <c:f>Hoja1!$B$1</c:f>
              <c:strCache>
                <c:ptCount val="1"/>
                <c:pt idx="0">
                  <c:v>PP</c:v>
                </c:pt>
              </c:strCache>
            </c:strRef>
          </c:tx>
          <c:marker>
            <c:symbol val="circle"/>
            <c:size val="4"/>
            <c:spPr>
              <a:solidFill>
                <a:schemeClr val="accent1"/>
              </a:solidFill>
            </c:spPr>
          </c:marker>
          <c:cat>
            <c:strRef>
              <c:f>Hoja1!$A$2:$A$38</c:f>
              <c:strCache>
                <c:ptCount val="37"/>
                <c:pt idx="0">
                  <c:v>Europeas </c:v>
                </c:pt>
                <c:pt idx="1">
                  <c:v>Junio</c:v>
                </c:pt>
                <c:pt idx="2">
                  <c:v>Julio</c:v>
                </c:pt>
                <c:pt idx="3">
                  <c:v>Agosto</c:v>
                </c:pt>
                <c:pt idx="4">
                  <c:v>Septiembre</c:v>
                </c:pt>
                <c:pt idx="5">
                  <c:v>Octubre</c:v>
                </c:pt>
                <c:pt idx="6">
                  <c:v>Noviembre</c:v>
                </c:pt>
                <c:pt idx="7">
                  <c:v>Diciembre</c:v>
                </c:pt>
                <c:pt idx="8">
                  <c:v>ene-15</c:v>
                </c:pt>
                <c:pt idx="9">
                  <c:v>Febrero</c:v>
                </c:pt>
                <c:pt idx="10">
                  <c:v>Marzo</c:v>
                </c:pt>
                <c:pt idx="11">
                  <c:v>Abril</c:v>
                </c:pt>
                <c:pt idx="12">
                  <c:v>Mayo</c:v>
                </c:pt>
                <c:pt idx="13">
                  <c:v>Mayo (II)</c:v>
                </c:pt>
                <c:pt idx="14">
                  <c:v>Junio</c:v>
                </c:pt>
                <c:pt idx="15">
                  <c:v>Julio</c:v>
                </c:pt>
                <c:pt idx="16">
                  <c:v>Agosto</c:v>
                </c:pt>
                <c:pt idx="17">
                  <c:v>Septiembre</c:v>
                </c:pt>
                <c:pt idx="18">
                  <c:v>Sep (II)</c:v>
                </c:pt>
                <c:pt idx="19">
                  <c:v>Octubre</c:v>
                </c:pt>
                <c:pt idx="20">
                  <c:v>Oct (II)</c:v>
                </c:pt>
                <c:pt idx="21">
                  <c:v>Noviembre</c:v>
                </c:pt>
                <c:pt idx="22">
                  <c:v>Nov (II)</c:v>
                </c:pt>
                <c:pt idx="23">
                  <c:v>Nov (III)</c:v>
                </c:pt>
                <c:pt idx="24">
                  <c:v>Diciembre</c:v>
                </c:pt>
                <c:pt idx="25">
                  <c:v>Dic (II)</c:v>
                </c:pt>
                <c:pt idx="26">
                  <c:v>Dic (III)</c:v>
                </c:pt>
                <c:pt idx="27">
                  <c:v>17D</c:v>
                </c:pt>
                <c:pt idx="28">
                  <c:v>18D</c:v>
                </c:pt>
                <c:pt idx="29">
                  <c:v>19D</c:v>
                </c:pt>
                <c:pt idx="30">
                  <c:v>ELECCIONES </c:v>
                </c:pt>
                <c:pt idx="31">
                  <c:v>ene-16</c:v>
                </c:pt>
                <c:pt idx="32">
                  <c:v>Febrero</c:v>
                </c:pt>
                <c:pt idx="33">
                  <c:v>Marzo</c:v>
                </c:pt>
                <c:pt idx="34">
                  <c:v>Abril</c:v>
                </c:pt>
                <c:pt idx="35">
                  <c:v>Abril (II)</c:v>
                </c:pt>
                <c:pt idx="36">
                  <c:v>Mayo</c:v>
                </c:pt>
              </c:strCache>
            </c:strRef>
          </c:cat>
          <c:val>
            <c:numRef>
              <c:f>Hoja1!$B$2:$B$38</c:f>
              <c:numCache>
                <c:formatCode>General</c:formatCode>
                <c:ptCount val="37"/>
                <c:pt idx="0">
                  <c:v>26.1</c:v>
                </c:pt>
                <c:pt idx="1">
                  <c:v>30.1</c:v>
                </c:pt>
                <c:pt idx="2">
                  <c:v>29.1</c:v>
                </c:pt>
                <c:pt idx="3">
                  <c:v>31.4</c:v>
                </c:pt>
                <c:pt idx="4">
                  <c:v>31.4</c:v>
                </c:pt>
                <c:pt idx="5">
                  <c:v>27</c:v>
                </c:pt>
                <c:pt idx="6">
                  <c:v>31.4</c:v>
                </c:pt>
                <c:pt idx="7">
                  <c:v>25.7</c:v>
                </c:pt>
                <c:pt idx="8">
                  <c:v>28.7</c:v>
                </c:pt>
                <c:pt idx="9">
                  <c:v>26.4</c:v>
                </c:pt>
                <c:pt idx="10">
                  <c:v>25.1</c:v>
                </c:pt>
                <c:pt idx="11">
                  <c:v>25.2</c:v>
                </c:pt>
                <c:pt idx="12">
                  <c:v>24.7</c:v>
                </c:pt>
                <c:pt idx="13">
                  <c:v>25.1</c:v>
                </c:pt>
                <c:pt idx="14">
                  <c:v>24.6</c:v>
                </c:pt>
                <c:pt idx="15">
                  <c:v>26.2</c:v>
                </c:pt>
                <c:pt idx="16">
                  <c:v>26.1</c:v>
                </c:pt>
                <c:pt idx="17">
                  <c:v>27.6</c:v>
                </c:pt>
                <c:pt idx="18">
                  <c:v>28.4</c:v>
                </c:pt>
                <c:pt idx="19">
                  <c:v>26.7</c:v>
                </c:pt>
                <c:pt idx="20">
                  <c:v>25.3</c:v>
                </c:pt>
                <c:pt idx="21">
                  <c:v>25.3</c:v>
                </c:pt>
                <c:pt idx="22">
                  <c:v>24.8</c:v>
                </c:pt>
                <c:pt idx="23">
                  <c:v>24.7</c:v>
                </c:pt>
                <c:pt idx="24">
                  <c:v>25.3</c:v>
                </c:pt>
                <c:pt idx="25">
                  <c:v>25.8</c:v>
                </c:pt>
                <c:pt idx="26">
                  <c:v>25.9</c:v>
                </c:pt>
                <c:pt idx="27">
                  <c:v>25.6</c:v>
                </c:pt>
                <c:pt idx="28">
                  <c:v>26.6</c:v>
                </c:pt>
                <c:pt idx="29">
                  <c:v>25.7</c:v>
                </c:pt>
                <c:pt idx="30">
                  <c:v>28.72</c:v>
                </c:pt>
                <c:pt idx="31">
                  <c:v>31.3</c:v>
                </c:pt>
                <c:pt idx="32">
                  <c:v>29.2</c:v>
                </c:pt>
                <c:pt idx="33">
                  <c:v>28.5</c:v>
                </c:pt>
                <c:pt idx="34">
                  <c:v>28.2</c:v>
                </c:pt>
                <c:pt idx="35">
                  <c:v>28.7</c:v>
                </c:pt>
                <c:pt idx="36">
                  <c:v>28.2</c:v>
                </c:pt>
              </c:numCache>
            </c:numRef>
          </c:val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Podemos</c:v>
                </c:pt>
              </c:strCache>
            </c:strRef>
          </c:tx>
          <c:spPr>
            <a:ln>
              <a:solidFill>
                <a:schemeClr val="accent4"/>
              </a:solidFill>
            </a:ln>
          </c:spPr>
          <c:marker>
            <c:symbol val="circle"/>
            <c:size val="4"/>
            <c:spPr>
              <a:solidFill>
                <a:schemeClr val="accent4"/>
              </a:solidFill>
              <a:ln>
                <a:solidFill>
                  <a:srgbClr val="8064A2"/>
                </a:solidFill>
              </a:ln>
            </c:spPr>
          </c:marker>
          <c:cat>
            <c:strRef>
              <c:f>Hoja1!$A$2:$A$38</c:f>
              <c:strCache>
                <c:ptCount val="37"/>
                <c:pt idx="0">
                  <c:v>Europeas </c:v>
                </c:pt>
                <c:pt idx="1">
                  <c:v>Junio</c:v>
                </c:pt>
                <c:pt idx="2">
                  <c:v>Julio</c:v>
                </c:pt>
                <c:pt idx="3">
                  <c:v>Agosto</c:v>
                </c:pt>
                <c:pt idx="4">
                  <c:v>Septiembre</c:v>
                </c:pt>
                <c:pt idx="5">
                  <c:v>Octubre</c:v>
                </c:pt>
                <c:pt idx="6">
                  <c:v>Noviembre</c:v>
                </c:pt>
                <c:pt idx="7">
                  <c:v>Diciembre</c:v>
                </c:pt>
                <c:pt idx="8">
                  <c:v>ene-15</c:v>
                </c:pt>
                <c:pt idx="9">
                  <c:v>Febrero</c:v>
                </c:pt>
                <c:pt idx="10">
                  <c:v>Marzo</c:v>
                </c:pt>
                <c:pt idx="11">
                  <c:v>Abril</c:v>
                </c:pt>
                <c:pt idx="12">
                  <c:v>Mayo</c:v>
                </c:pt>
                <c:pt idx="13">
                  <c:v>Mayo (II)</c:v>
                </c:pt>
                <c:pt idx="14">
                  <c:v>Junio</c:v>
                </c:pt>
                <c:pt idx="15">
                  <c:v>Julio</c:v>
                </c:pt>
                <c:pt idx="16">
                  <c:v>Agosto</c:v>
                </c:pt>
                <c:pt idx="17">
                  <c:v>Septiembre</c:v>
                </c:pt>
                <c:pt idx="18">
                  <c:v>Sep (II)</c:v>
                </c:pt>
                <c:pt idx="19">
                  <c:v>Octubre</c:v>
                </c:pt>
                <c:pt idx="20">
                  <c:v>Oct (II)</c:v>
                </c:pt>
                <c:pt idx="21">
                  <c:v>Noviembre</c:v>
                </c:pt>
                <c:pt idx="22">
                  <c:v>Nov (II)</c:v>
                </c:pt>
                <c:pt idx="23">
                  <c:v>Nov (III)</c:v>
                </c:pt>
                <c:pt idx="24">
                  <c:v>Diciembre</c:v>
                </c:pt>
                <c:pt idx="25">
                  <c:v>Dic (II)</c:v>
                </c:pt>
                <c:pt idx="26">
                  <c:v>Dic (III)</c:v>
                </c:pt>
                <c:pt idx="27">
                  <c:v>17D</c:v>
                </c:pt>
                <c:pt idx="28">
                  <c:v>18D</c:v>
                </c:pt>
                <c:pt idx="29">
                  <c:v>19D</c:v>
                </c:pt>
                <c:pt idx="30">
                  <c:v>ELECCIONES </c:v>
                </c:pt>
                <c:pt idx="31">
                  <c:v>ene-16</c:v>
                </c:pt>
                <c:pt idx="32">
                  <c:v>Febrero</c:v>
                </c:pt>
                <c:pt idx="33">
                  <c:v>Marzo</c:v>
                </c:pt>
                <c:pt idx="34">
                  <c:v>Abril</c:v>
                </c:pt>
                <c:pt idx="35">
                  <c:v>Abril (II)</c:v>
                </c:pt>
                <c:pt idx="36">
                  <c:v>Mayo</c:v>
                </c:pt>
              </c:strCache>
            </c:strRef>
          </c:cat>
          <c:val>
            <c:numRef>
              <c:f>Hoja1!$C$2:$C$38</c:f>
              <c:numCache>
                <c:formatCode>General</c:formatCode>
                <c:ptCount val="37"/>
                <c:pt idx="0">
                  <c:v>8</c:v>
                </c:pt>
                <c:pt idx="1">
                  <c:v>13.9</c:v>
                </c:pt>
                <c:pt idx="2">
                  <c:v>15.4</c:v>
                </c:pt>
                <c:pt idx="3">
                  <c:v>18.8</c:v>
                </c:pt>
                <c:pt idx="4">
                  <c:v>17.8</c:v>
                </c:pt>
                <c:pt idx="5">
                  <c:v>22.5</c:v>
                </c:pt>
                <c:pt idx="6">
                  <c:v>17.899999999999999</c:v>
                </c:pt>
                <c:pt idx="7">
                  <c:v>26.8</c:v>
                </c:pt>
                <c:pt idx="8">
                  <c:v>28.5</c:v>
                </c:pt>
                <c:pt idx="9">
                  <c:v>25</c:v>
                </c:pt>
                <c:pt idx="10">
                  <c:v>25.8</c:v>
                </c:pt>
                <c:pt idx="11">
                  <c:v>20.399999999999999</c:v>
                </c:pt>
                <c:pt idx="12">
                  <c:v>19.100000000000001</c:v>
                </c:pt>
                <c:pt idx="13">
                  <c:v>18.3</c:v>
                </c:pt>
                <c:pt idx="14">
                  <c:v>20.3</c:v>
                </c:pt>
                <c:pt idx="15">
                  <c:v>19.8</c:v>
                </c:pt>
                <c:pt idx="16">
                  <c:v>18</c:v>
                </c:pt>
                <c:pt idx="17">
                  <c:v>16.7</c:v>
                </c:pt>
                <c:pt idx="18">
                  <c:v>17.7</c:v>
                </c:pt>
                <c:pt idx="19">
                  <c:v>14.3</c:v>
                </c:pt>
                <c:pt idx="20">
                  <c:v>15.2</c:v>
                </c:pt>
                <c:pt idx="21">
                  <c:v>16.7</c:v>
                </c:pt>
                <c:pt idx="22">
                  <c:v>16.8</c:v>
                </c:pt>
                <c:pt idx="23">
                  <c:v>17.100000000000001</c:v>
                </c:pt>
                <c:pt idx="24">
                  <c:v>18.8</c:v>
                </c:pt>
                <c:pt idx="25">
                  <c:v>20</c:v>
                </c:pt>
                <c:pt idx="26">
                  <c:v>19.399999999999999</c:v>
                </c:pt>
                <c:pt idx="27">
                  <c:v>20.399999999999999</c:v>
                </c:pt>
                <c:pt idx="28">
                  <c:v>20</c:v>
                </c:pt>
                <c:pt idx="29">
                  <c:v>20.399999999999999</c:v>
                </c:pt>
                <c:pt idx="30">
                  <c:v>20.66</c:v>
                </c:pt>
              </c:numCache>
            </c:numRef>
          </c:val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PSOE</c:v>
                </c:pt>
              </c:strCache>
            </c:strRef>
          </c:tx>
          <c:spPr>
            <a:ln>
              <a:solidFill>
                <a:schemeClr val="accent2"/>
              </a:solidFill>
            </a:ln>
          </c:spPr>
          <c:marker>
            <c:symbol val="circle"/>
            <c:size val="4"/>
            <c:spPr>
              <a:solidFill>
                <a:schemeClr val="accent2"/>
              </a:solidFill>
              <a:ln>
                <a:solidFill>
                  <a:srgbClr val="C0504D"/>
                </a:solidFill>
              </a:ln>
            </c:spPr>
          </c:marker>
          <c:cat>
            <c:strRef>
              <c:f>Hoja1!$A$2:$A$38</c:f>
              <c:strCache>
                <c:ptCount val="37"/>
                <c:pt idx="0">
                  <c:v>Europeas </c:v>
                </c:pt>
                <c:pt idx="1">
                  <c:v>Junio</c:v>
                </c:pt>
                <c:pt idx="2">
                  <c:v>Julio</c:v>
                </c:pt>
                <c:pt idx="3">
                  <c:v>Agosto</c:v>
                </c:pt>
                <c:pt idx="4">
                  <c:v>Septiembre</c:v>
                </c:pt>
                <c:pt idx="5">
                  <c:v>Octubre</c:v>
                </c:pt>
                <c:pt idx="6">
                  <c:v>Noviembre</c:v>
                </c:pt>
                <c:pt idx="7">
                  <c:v>Diciembre</c:v>
                </c:pt>
                <c:pt idx="8">
                  <c:v>ene-15</c:v>
                </c:pt>
                <c:pt idx="9">
                  <c:v>Febrero</c:v>
                </c:pt>
                <c:pt idx="10">
                  <c:v>Marzo</c:v>
                </c:pt>
                <c:pt idx="11">
                  <c:v>Abril</c:v>
                </c:pt>
                <c:pt idx="12">
                  <c:v>Mayo</c:v>
                </c:pt>
                <c:pt idx="13">
                  <c:v>Mayo (II)</c:v>
                </c:pt>
                <c:pt idx="14">
                  <c:v>Junio</c:v>
                </c:pt>
                <c:pt idx="15">
                  <c:v>Julio</c:v>
                </c:pt>
                <c:pt idx="16">
                  <c:v>Agosto</c:v>
                </c:pt>
                <c:pt idx="17">
                  <c:v>Septiembre</c:v>
                </c:pt>
                <c:pt idx="18">
                  <c:v>Sep (II)</c:v>
                </c:pt>
                <c:pt idx="19">
                  <c:v>Octubre</c:v>
                </c:pt>
                <c:pt idx="20">
                  <c:v>Oct (II)</c:v>
                </c:pt>
                <c:pt idx="21">
                  <c:v>Noviembre</c:v>
                </c:pt>
                <c:pt idx="22">
                  <c:v>Nov (II)</c:v>
                </c:pt>
                <c:pt idx="23">
                  <c:v>Nov (III)</c:v>
                </c:pt>
                <c:pt idx="24">
                  <c:v>Diciembre</c:v>
                </c:pt>
                <c:pt idx="25">
                  <c:v>Dic (II)</c:v>
                </c:pt>
                <c:pt idx="26">
                  <c:v>Dic (III)</c:v>
                </c:pt>
                <c:pt idx="27">
                  <c:v>17D</c:v>
                </c:pt>
                <c:pt idx="28">
                  <c:v>18D</c:v>
                </c:pt>
                <c:pt idx="29">
                  <c:v>19D</c:v>
                </c:pt>
                <c:pt idx="30">
                  <c:v>ELECCIONES </c:v>
                </c:pt>
                <c:pt idx="31">
                  <c:v>ene-16</c:v>
                </c:pt>
                <c:pt idx="32">
                  <c:v>Febrero</c:v>
                </c:pt>
                <c:pt idx="33">
                  <c:v>Marzo</c:v>
                </c:pt>
                <c:pt idx="34">
                  <c:v>Abril</c:v>
                </c:pt>
                <c:pt idx="35">
                  <c:v>Abril (II)</c:v>
                </c:pt>
                <c:pt idx="36">
                  <c:v>Mayo</c:v>
                </c:pt>
              </c:strCache>
            </c:strRef>
          </c:cat>
          <c:val>
            <c:numRef>
              <c:f>Hoja1!$D$2:$D$38</c:f>
              <c:numCache>
                <c:formatCode>General</c:formatCode>
                <c:ptCount val="37"/>
                <c:pt idx="0">
                  <c:v>23</c:v>
                </c:pt>
                <c:pt idx="1">
                  <c:v>19.399999999999999</c:v>
                </c:pt>
                <c:pt idx="2">
                  <c:v>21.7</c:v>
                </c:pt>
                <c:pt idx="3">
                  <c:v>23.5</c:v>
                </c:pt>
                <c:pt idx="4">
                  <c:v>23.4</c:v>
                </c:pt>
                <c:pt idx="5">
                  <c:v>24.6</c:v>
                </c:pt>
                <c:pt idx="6">
                  <c:v>23.3</c:v>
                </c:pt>
                <c:pt idx="7">
                  <c:v>21.2</c:v>
                </c:pt>
                <c:pt idx="8">
                  <c:v>21.7</c:v>
                </c:pt>
                <c:pt idx="9">
                  <c:v>20.399999999999999</c:v>
                </c:pt>
                <c:pt idx="10">
                  <c:v>17.8</c:v>
                </c:pt>
                <c:pt idx="11">
                  <c:v>21</c:v>
                </c:pt>
                <c:pt idx="12">
                  <c:v>20.7</c:v>
                </c:pt>
                <c:pt idx="13">
                  <c:v>21.4</c:v>
                </c:pt>
                <c:pt idx="14">
                  <c:v>21.9</c:v>
                </c:pt>
                <c:pt idx="15">
                  <c:v>23.8</c:v>
                </c:pt>
                <c:pt idx="16">
                  <c:v>24</c:v>
                </c:pt>
                <c:pt idx="17">
                  <c:v>24.1</c:v>
                </c:pt>
                <c:pt idx="18">
                  <c:v>24.3</c:v>
                </c:pt>
                <c:pt idx="19">
                  <c:v>24.7</c:v>
                </c:pt>
                <c:pt idx="20">
                  <c:v>22.9</c:v>
                </c:pt>
                <c:pt idx="21">
                  <c:v>21.4</c:v>
                </c:pt>
                <c:pt idx="22">
                  <c:v>20.7</c:v>
                </c:pt>
                <c:pt idx="23">
                  <c:v>20.399999999999999</c:v>
                </c:pt>
                <c:pt idx="24">
                  <c:v>20.3</c:v>
                </c:pt>
                <c:pt idx="25">
                  <c:v>19.600000000000001</c:v>
                </c:pt>
                <c:pt idx="26">
                  <c:v>19.8</c:v>
                </c:pt>
                <c:pt idx="27">
                  <c:v>19.399999999999999</c:v>
                </c:pt>
                <c:pt idx="28">
                  <c:v>20.399999999999999</c:v>
                </c:pt>
                <c:pt idx="29">
                  <c:v>20.2</c:v>
                </c:pt>
                <c:pt idx="30">
                  <c:v>22.01</c:v>
                </c:pt>
                <c:pt idx="31">
                  <c:v>20.2</c:v>
                </c:pt>
                <c:pt idx="32">
                  <c:v>20.7</c:v>
                </c:pt>
                <c:pt idx="33">
                  <c:v>19.899999999999999</c:v>
                </c:pt>
                <c:pt idx="34">
                  <c:v>20.6</c:v>
                </c:pt>
                <c:pt idx="35">
                  <c:v>19.8</c:v>
                </c:pt>
                <c:pt idx="36">
                  <c:v>18.899999999999999</c:v>
                </c:pt>
              </c:numCache>
            </c:numRef>
          </c:val>
        </c:ser>
        <c:ser>
          <c:idx val="3"/>
          <c:order val="3"/>
          <c:tx>
            <c:strRef>
              <c:f>Hoja1!$E$1</c:f>
              <c:strCache>
                <c:ptCount val="1"/>
                <c:pt idx="0">
                  <c:v>Ciudadanos</c:v>
                </c:pt>
              </c:strCache>
            </c:strRef>
          </c:tx>
          <c:spPr>
            <a:ln>
              <a:solidFill>
                <a:srgbClr val="F4740A"/>
              </a:solidFill>
            </a:ln>
          </c:spPr>
          <c:marker>
            <c:symbol val="circle"/>
            <c:size val="4"/>
            <c:spPr>
              <a:solidFill>
                <a:schemeClr val="accent6"/>
              </a:solidFill>
              <a:ln>
                <a:solidFill>
                  <a:srgbClr val="F4740A"/>
                </a:solidFill>
              </a:ln>
            </c:spPr>
          </c:marker>
          <c:cat>
            <c:strRef>
              <c:f>Hoja1!$A$2:$A$38</c:f>
              <c:strCache>
                <c:ptCount val="37"/>
                <c:pt idx="0">
                  <c:v>Europeas </c:v>
                </c:pt>
                <c:pt idx="1">
                  <c:v>Junio</c:v>
                </c:pt>
                <c:pt idx="2">
                  <c:v>Julio</c:v>
                </c:pt>
                <c:pt idx="3">
                  <c:v>Agosto</c:v>
                </c:pt>
                <c:pt idx="4">
                  <c:v>Septiembre</c:v>
                </c:pt>
                <c:pt idx="5">
                  <c:v>Octubre</c:v>
                </c:pt>
                <c:pt idx="6">
                  <c:v>Noviembre</c:v>
                </c:pt>
                <c:pt idx="7">
                  <c:v>Diciembre</c:v>
                </c:pt>
                <c:pt idx="8">
                  <c:v>ene-15</c:v>
                </c:pt>
                <c:pt idx="9">
                  <c:v>Febrero</c:v>
                </c:pt>
                <c:pt idx="10">
                  <c:v>Marzo</c:v>
                </c:pt>
                <c:pt idx="11">
                  <c:v>Abril</c:v>
                </c:pt>
                <c:pt idx="12">
                  <c:v>Mayo</c:v>
                </c:pt>
                <c:pt idx="13">
                  <c:v>Mayo (II)</c:v>
                </c:pt>
                <c:pt idx="14">
                  <c:v>Junio</c:v>
                </c:pt>
                <c:pt idx="15">
                  <c:v>Julio</c:v>
                </c:pt>
                <c:pt idx="16">
                  <c:v>Agosto</c:v>
                </c:pt>
                <c:pt idx="17">
                  <c:v>Septiembre</c:v>
                </c:pt>
                <c:pt idx="18">
                  <c:v>Sep (II)</c:v>
                </c:pt>
                <c:pt idx="19">
                  <c:v>Octubre</c:v>
                </c:pt>
                <c:pt idx="20">
                  <c:v>Oct (II)</c:v>
                </c:pt>
                <c:pt idx="21">
                  <c:v>Noviembre</c:v>
                </c:pt>
                <c:pt idx="22">
                  <c:v>Nov (II)</c:v>
                </c:pt>
                <c:pt idx="23">
                  <c:v>Nov (III)</c:v>
                </c:pt>
                <c:pt idx="24">
                  <c:v>Diciembre</c:v>
                </c:pt>
                <c:pt idx="25">
                  <c:v>Dic (II)</c:v>
                </c:pt>
                <c:pt idx="26">
                  <c:v>Dic (III)</c:v>
                </c:pt>
                <c:pt idx="27">
                  <c:v>17D</c:v>
                </c:pt>
                <c:pt idx="28">
                  <c:v>18D</c:v>
                </c:pt>
                <c:pt idx="29">
                  <c:v>19D</c:v>
                </c:pt>
                <c:pt idx="30">
                  <c:v>ELECCIONES </c:v>
                </c:pt>
                <c:pt idx="31">
                  <c:v>ene-16</c:v>
                </c:pt>
                <c:pt idx="32">
                  <c:v>Febrero</c:v>
                </c:pt>
                <c:pt idx="33">
                  <c:v>Marzo</c:v>
                </c:pt>
                <c:pt idx="34">
                  <c:v>Abril</c:v>
                </c:pt>
                <c:pt idx="35">
                  <c:v>Abril (II)</c:v>
                </c:pt>
                <c:pt idx="36">
                  <c:v>Mayo</c:v>
                </c:pt>
              </c:strCache>
            </c:strRef>
          </c:cat>
          <c:val>
            <c:numRef>
              <c:f>Hoja1!$E$2:$E$38</c:f>
              <c:numCache>
                <c:formatCode>General</c:formatCode>
                <c:ptCount val="37"/>
                <c:pt idx="0">
                  <c:v>3.2</c:v>
                </c:pt>
                <c:pt idx="1">
                  <c:v>3.5</c:v>
                </c:pt>
                <c:pt idx="2">
                  <c:v>3.5</c:v>
                </c:pt>
                <c:pt idx="3">
                  <c:v>2.6</c:v>
                </c:pt>
                <c:pt idx="4">
                  <c:v>3.3</c:v>
                </c:pt>
                <c:pt idx="5">
                  <c:v>2.5</c:v>
                </c:pt>
                <c:pt idx="6">
                  <c:v>4.9000000000000004</c:v>
                </c:pt>
                <c:pt idx="7">
                  <c:v>3.2</c:v>
                </c:pt>
                <c:pt idx="8">
                  <c:v>6.4</c:v>
                </c:pt>
                <c:pt idx="9">
                  <c:v>7.4</c:v>
                </c:pt>
                <c:pt idx="10">
                  <c:v>9.7000000000000011</c:v>
                </c:pt>
                <c:pt idx="11">
                  <c:v>13.9</c:v>
                </c:pt>
                <c:pt idx="12">
                  <c:v>16.100000000000001</c:v>
                </c:pt>
                <c:pt idx="13">
                  <c:v>15.4</c:v>
                </c:pt>
                <c:pt idx="14">
                  <c:v>12.8</c:v>
                </c:pt>
                <c:pt idx="15">
                  <c:v>11</c:v>
                </c:pt>
                <c:pt idx="16">
                  <c:v>12.1</c:v>
                </c:pt>
                <c:pt idx="17">
                  <c:v>11.2</c:v>
                </c:pt>
                <c:pt idx="18">
                  <c:v>11.8</c:v>
                </c:pt>
                <c:pt idx="19">
                  <c:v>14.6</c:v>
                </c:pt>
                <c:pt idx="20">
                  <c:v>16.100000000000001</c:v>
                </c:pt>
                <c:pt idx="21">
                  <c:v>16.8</c:v>
                </c:pt>
                <c:pt idx="22">
                  <c:v>16.899999999999999</c:v>
                </c:pt>
                <c:pt idx="23">
                  <c:v>16.7</c:v>
                </c:pt>
                <c:pt idx="24">
                  <c:v>17</c:v>
                </c:pt>
                <c:pt idx="25">
                  <c:v>16.8</c:v>
                </c:pt>
                <c:pt idx="26">
                  <c:v>16.899999999999999</c:v>
                </c:pt>
                <c:pt idx="27">
                  <c:v>16.2</c:v>
                </c:pt>
                <c:pt idx="28">
                  <c:v>16.2</c:v>
                </c:pt>
                <c:pt idx="29">
                  <c:v>15.3</c:v>
                </c:pt>
                <c:pt idx="30">
                  <c:v>13.93</c:v>
                </c:pt>
                <c:pt idx="31">
                  <c:v>10.3</c:v>
                </c:pt>
                <c:pt idx="32">
                  <c:v>13</c:v>
                </c:pt>
                <c:pt idx="33">
                  <c:v>14.5</c:v>
                </c:pt>
                <c:pt idx="34">
                  <c:v>14.1</c:v>
                </c:pt>
                <c:pt idx="35">
                  <c:v>13.6</c:v>
                </c:pt>
                <c:pt idx="36">
                  <c:v>13.2</c:v>
                </c:pt>
              </c:numCache>
            </c:numRef>
          </c:val>
        </c:ser>
        <c:ser>
          <c:idx val="4"/>
          <c:order val="4"/>
          <c:tx>
            <c:strRef>
              <c:f>Hoja1!$F$1</c:f>
              <c:strCache>
                <c:ptCount val="1"/>
                <c:pt idx="0">
                  <c:v>IU-UP</c:v>
                </c:pt>
              </c:strCache>
            </c:strRef>
          </c:tx>
          <c:spPr>
            <a:ln>
              <a:solidFill>
                <a:srgbClr val="92D050"/>
              </a:solidFill>
            </a:ln>
          </c:spPr>
          <c:marker>
            <c:symbol val="circle"/>
            <c:size val="4"/>
            <c:spPr>
              <a:ln>
                <a:solidFill>
                  <a:srgbClr val="92D050"/>
                </a:solidFill>
              </a:ln>
            </c:spPr>
          </c:marker>
          <c:cat>
            <c:strRef>
              <c:f>Hoja1!$A$2:$A$38</c:f>
              <c:strCache>
                <c:ptCount val="37"/>
                <c:pt idx="0">
                  <c:v>Europeas </c:v>
                </c:pt>
                <c:pt idx="1">
                  <c:v>Junio</c:v>
                </c:pt>
                <c:pt idx="2">
                  <c:v>Julio</c:v>
                </c:pt>
                <c:pt idx="3">
                  <c:v>Agosto</c:v>
                </c:pt>
                <c:pt idx="4">
                  <c:v>Septiembre</c:v>
                </c:pt>
                <c:pt idx="5">
                  <c:v>Octubre</c:v>
                </c:pt>
                <c:pt idx="6">
                  <c:v>Noviembre</c:v>
                </c:pt>
                <c:pt idx="7">
                  <c:v>Diciembre</c:v>
                </c:pt>
                <c:pt idx="8">
                  <c:v>ene-15</c:v>
                </c:pt>
                <c:pt idx="9">
                  <c:v>Febrero</c:v>
                </c:pt>
                <c:pt idx="10">
                  <c:v>Marzo</c:v>
                </c:pt>
                <c:pt idx="11">
                  <c:v>Abril</c:v>
                </c:pt>
                <c:pt idx="12">
                  <c:v>Mayo</c:v>
                </c:pt>
                <c:pt idx="13">
                  <c:v>Mayo (II)</c:v>
                </c:pt>
                <c:pt idx="14">
                  <c:v>Junio</c:v>
                </c:pt>
                <c:pt idx="15">
                  <c:v>Julio</c:v>
                </c:pt>
                <c:pt idx="16">
                  <c:v>Agosto</c:v>
                </c:pt>
                <c:pt idx="17">
                  <c:v>Septiembre</c:v>
                </c:pt>
                <c:pt idx="18">
                  <c:v>Sep (II)</c:v>
                </c:pt>
                <c:pt idx="19">
                  <c:v>Octubre</c:v>
                </c:pt>
                <c:pt idx="20">
                  <c:v>Oct (II)</c:v>
                </c:pt>
                <c:pt idx="21">
                  <c:v>Noviembre</c:v>
                </c:pt>
                <c:pt idx="22">
                  <c:v>Nov (II)</c:v>
                </c:pt>
                <c:pt idx="23">
                  <c:v>Nov (III)</c:v>
                </c:pt>
                <c:pt idx="24">
                  <c:v>Diciembre</c:v>
                </c:pt>
                <c:pt idx="25">
                  <c:v>Dic (II)</c:v>
                </c:pt>
                <c:pt idx="26">
                  <c:v>Dic (III)</c:v>
                </c:pt>
                <c:pt idx="27">
                  <c:v>17D</c:v>
                </c:pt>
                <c:pt idx="28">
                  <c:v>18D</c:v>
                </c:pt>
                <c:pt idx="29">
                  <c:v>19D</c:v>
                </c:pt>
                <c:pt idx="30">
                  <c:v>ELECCIONES </c:v>
                </c:pt>
                <c:pt idx="31">
                  <c:v>ene-16</c:v>
                </c:pt>
                <c:pt idx="32">
                  <c:v>Febrero</c:v>
                </c:pt>
                <c:pt idx="33">
                  <c:v>Marzo</c:v>
                </c:pt>
                <c:pt idx="34">
                  <c:v>Abril</c:v>
                </c:pt>
                <c:pt idx="35">
                  <c:v>Abril (II)</c:v>
                </c:pt>
                <c:pt idx="36">
                  <c:v>Mayo</c:v>
                </c:pt>
              </c:strCache>
            </c:strRef>
          </c:cat>
          <c:val>
            <c:numRef>
              <c:f>Hoja1!$F$2:$F$38</c:f>
              <c:numCache>
                <c:formatCode>General</c:formatCode>
                <c:ptCount val="37"/>
                <c:pt idx="0">
                  <c:v>10</c:v>
                </c:pt>
                <c:pt idx="1">
                  <c:v>6.5</c:v>
                </c:pt>
                <c:pt idx="2">
                  <c:v>8.1</c:v>
                </c:pt>
                <c:pt idx="3">
                  <c:v>4.7</c:v>
                </c:pt>
                <c:pt idx="4">
                  <c:v>5.8</c:v>
                </c:pt>
                <c:pt idx="5">
                  <c:v>5.3</c:v>
                </c:pt>
                <c:pt idx="6">
                  <c:v>5.8</c:v>
                </c:pt>
                <c:pt idx="7">
                  <c:v>5</c:v>
                </c:pt>
                <c:pt idx="8">
                  <c:v>5.0999999999999996</c:v>
                </c:pt>
                <c:pt idx="9">
                  <c:v>4.5999999999999996</c:v>
                </c:pt>
                <c:pt idx="10">
                  <c:v>4.7</c:v>
                </c:pt>
                <c:pt idx="11">
                  <c:v>4.4000000000000004</c:v>
                </c:pt>
                <c:pt idx="12">
                  <c:v>5.0999999999999996</c:v>
                </c:pt>
                <c:pt idx="13">
                  <c:v>4.5999999999999996</c:v>
                </c:pt>
                <c:pt idx="14">
                  <c:v>4.2</c:v>
                </c:pt>
                <c:pt idx="15">
                  <c:v>4.0999999999999996</c:v>
                </c:pt>
                <c:pt idx="16">
                  <c:v>4.4000000000000004</c:v>
                </c:pt>
                <c:pt idx="17">
                  <c:v>3.9</c:v>
                </c:pt>
                <c:pt idx="18">
                  <c:v>3.9</c:v>
                </c:pt>
                <c:pt idx="19">
                  <c:v>4.0999999999999996</c:v>
                </c:pt>
                <c:pt idx="20">
                  <c:v>4.4000000000000004</c:v>
                </c:pt>
                <c:pt idx="21">
                  <c:v>4.7</c:v>
                </c:pt>
                <c:pt idx="22">
                  <c:v>4.7</c:v>
                </c:pt>
                <c:pt idx="23">
                  <c:v>4.3</c:v>
                </c:pt>
                <c:pt idx="24">
                  <c:v>4.0999999999999996</c:v>
                </c:pt>
                <c:pt idx="25">
                  <c:v>3.7</c:v>
                </c:pt>
                <c:pt idx="26">
                  <c:v>3.9</c:v>
                </c:pt>
                <c:pt idx="27">
                  <c:v>4</c:v>
                </c:pt>
                <c:pt idx="28">
                  <c:v>3.7</c:v>
                </c:pt>
                <c:pt idx="29">
                  <c:v>4</c:v>
                </c:pt>
                <c:pt idx="30">
                  <c:v>3.67</c:v>
                </c:pt>
              </c:numCache>
            </c:numRef>
          </c:val>
        </c:ser>
        <c:ser>
          <c:idx val="5"/>
          <c:order val="5"/>
          <c:tx>
            <c:strRef>
              <c:f>Hoja1!$G$1</c:f>
              <c:strCache>
                <c:ptCount val="1"/>
                <c:pt idx="0">
                  <c:v>UPyD</c:v>
                </c:pt>
              </c:strCache>
            </c:strRef>
          </c:tx>
          <c:spPr>
            <a:ln>
              <a:solidFill>
                <a:srgbClr val="FF3399"/>
              </a:solidFill>
            </a:ln>
          </c:spPr>
          <c:marker>
            <c:symbol val="circle"/>
            <c:size val="4"/>
            <c:spPr>
              <a:solidFill>
                <a:srgbClr val="FF3399"/>
              </a:solidFill>
            </c:spPr>
          </c:marker>
          <c:cat>
            <c:strRef>
              <c:f>Hoja1!$A$2:$A$38</c:f>
              <c:strCache>
                <c:ptCount val="37"/>
                <c:pt idx="0">
                  <c:v>Europeas </c:v>
                </c:pt>
                <c:pt idx="1">
                  <c:v>Junio</c:v>
                </c:pt>
                <c:pt idx="2">
                  <c:v>Julio</c:v>
                </c:pt>
                <c:pt idx="3">
                  <c:v>Agosto</c:v>
                </c:pt>
                <c:pt idx="4">
                  <c:v>Septiembre</c:v>
                </c:pt>
                <c:pt idx="5">
                  <c:v>Octubre</c:v>
                </c:pt>
                <c:pt idx="6">
                  <c:v>Noviembre</c:v>
                </c:pt>
                <c:pt idx="7">
                  <c:v>Diciembre</c:v>
                </c:pt>
                <c:pt idx="8">
                  <c:v>ene-15</c:v>
                </c:pt>
                <c:pt idx="9">
                  <c:v>Febrero</c:v>
                </c:pt>
                <c:pt idx="10">
                  <c:v>Marzo</c:v>
                </c:pt>
                <c:pt idx="11">
                  <c:v>Abril</c:v>
                </c:pt>
                <c:pt idx="12">
                  <c:v>Mayo</c:v>
                </c:pt>
                <c:pt idx="13">
                  <c:v>Mayo (II)</c:v>
                </c:pt>
                <c:pt idx="14">
                  <c:v>Junio</c:v>
                </c:pt>
                <c:pt idx="15">
                  <c:v>Julio</c:v>
                </c:pt>
                <c:pt idx="16">
                  <c:v>Agosto</c:v>
                </c:pt>
                <c:pt idx="17">
                  <c:v>Septiembre</c:v>
                </c:pt>
                <c:pt idx="18">
                  <c:v>Sep (II)</c:v>
                </c:pt>
                <c:pt idx="19">
                  <c:v>Octubre</c:v>
                </c:pt>
                <c:pt idx="20">
                  <c:v>Oct (II)</c:v>
                </c:pt>
                <c:pt idx="21">
                  <c:v>Noviembre</c:v>
                </c:pt>
                <c:pt idx="22">
                  <c:v>Nov (II)</c:v>
                </c:pt>
                <c:pt idx="23">
                  <c:v>Nov (III)</c:v>
                </c:pt>
                <c:pt idx="24">
                  <c:v>Diciembre</c:v>
                </c:pt>
                <c:pt idx="25">
                  <c:v>Dic (II)</c:v>
                </c:pt>
                <c:pt idx="26">
                  <c:v>Dic (III)</c:v>
                </c:pt>
                <c:pt idx="27">
                  <c:v>17D</c:v>
                </c:pt>
                <c:pt idx="28">
                  <c:v>18D</c:v>
                </c:pt>
                <c:pt idx="29">
                  <c:v>19D</c:v>
                </c:pt>
                <c:pt idx="30">
                  <c:v>ELECCIONES </c:v>
                </c:pt>
                <c:pt idx="31">
                  <c:v>ene-16</c:v>
                </c:pt>
                <c:pt idx="32">
                  <c:v>Febrero</c:v>
                </c:pt>
                <c:pt idx="33">
                  <c:v>Marzo</c:v>
                </c:pt>
                <c:pt idx="34">
                  <c:v>Abril</c:v>
                </c:pt>
                <c:pt idx="35">
                  <c:v>Abril (II)</c:v>
                </c:pt>
                <c:pt idx="36">
                  <c:v>Mayo</c:v>
                </c:pt>
              </c:strCache>
            </c:strRef>
          </c:cat>
          <c:val>
            <c:numRef>
              <c:f>Hoja1!$G$2:$G$38</c:f>
              <c:numCache>
                <c:formatCode>General</c:formatCode>
                <c:ptCount val="37"/>
                <c:pt idx="0">
                  <c:v>6.5</c:v>
                </c:pt>
                <c:pt idx="1">
                  <c:v>6.2</c:v>
                </c:pt>
                <c:pt idx="2">
                  <c:v>6.7</c:v>
                </c:pt>
                <c:pt idx="3">
                  <c:v>4.5999999999999996</c:v>
                </c:pt>
                <c:pt idx="4">
                  <c:v>4.8</c:v>
                </c:pt>
                <c:pt idx="5">
                  <c:v>4.3</c:v>
                </c:pt>
                <c:pt idx="6">
                  <c:v>4.8</c:v>
                </c:pt>
                <c:pt idx="7">
                  <c:v>4.9000000000000004</c:v>
                </c:pt>
                <c:pt idx="8">
                  <c:v>4.2</c:v>
                </c:pt>
                <c:pt idx="9">
                  <c:v>3.8</c:v>
                </c:pt>
                <c:pt idx="10">
                  <c:v>3.6</c:v>
                </c:pt>
                <c:pt idx="11">
                  <c:v>2</c:v>
                </c:pt>
                <c:pt idx="12">
                  <c:v>1.6</c:v>
                </c:pt>
                <c:pt idx="13">
                  <c:v>1.6</c:v>
                </c:pt>
                <c:pt idx="14">
                  <c:v>1.3</c:v>
                </c:pt>
                <c:pt idx="15">
                  <c:v>1</c:v>
                </c:pt>
                <c:pt idx="16">
                  <c:v>0.9</c:v>
                </c:pt>
                <c:pt idx="17">
                  <c:v>1</c:v>
                </c:pt>
                <c:pt idx="18">
                  <c:v>1</c:v>
                </c:pt>
                <c:pt idx="19">
                  <c:v>0.70000000000000007</c:v>
                </c:pt>
                <c:pt idx="20">
                  <c:v>0.60000000000000009</c:v>
                </c:pt>
                <c:pt idx="21">
                  <c:v>0.60000000000000009</c:v>
                </c:pt>
                <c:pt idx="22">
                  <c:v>0.5</c:v>
                </c:pt>
                <c:pt idx="23">
                  <c:v>0.5</c:v>
                </c:pt>
                <c:pt idx="24">
                  <c:v>0.60000000000000009</c:v>
                </c:pt>
                <c:pt idx="25">
                  <c:v>0.5</c:v>
                </c:pt>
                <c:pt idx="26">
                  <c:v>0.60000000000000009</c:v>
                </c:pt>
                <c:pt idx="27">
                  <c:v>0.70000000000000007</c:v>
                </c:pt>
                <c:pt idx="28">
                  <c:v>0.70000000000000007</c:v>
                </c:pt>
                <c:pt idx="29">
                  <c:v>0.70000000000000007</c:v>
                </c:pt>
                <c:pt idx="30">
                  <c:v>0.6100000000000001</c:v>
                </c:pt>
              </c:numCache>
            </c:numRef>
          </c:val>
        </c:ser>
        <c:ser>
          <c:idx val="6"/>
          <c:order val="6"/>
          <c:tx>
            <c:strRef>
              <c:f>Hoja1!$H$1</c:f>
              <c:strCache>
                <c:ptCount val="1"/>
                <c:pt idx="0">
                  <c:v>Podemos+IU</c:v>
                </c:pt>
              </c:strCache>
            </c:strRef>
          </c:tx>
          <c:spPr>
            <a:ln>
              <a:solidFill>
                <a:srgbClr val="00B050"/>
              </a:solidFill>
            </a:ln>
          </c:spPr>
          <c:marker>
            <c:symbol val="circle"/>
            <c:size val="5"/>
            <c:spPr>
              <a:solidFill>
                <a:srgbClr val="7030A0"/>
              </a:solidFill>
            </c:spPr>
          </c:marker>
          <c:cat>
            <c:strRef>
              <c:f>Hoja1!$A$2:$A$38</c:f>
              <c:strCache>
                <c:ptCount val="37"/>
                <c:pt idx="0">
                  <c:v>Europeas </c:v>
                </c:pt>
                <c:pt idx="1">
                  <c:v>Junio</c:v>
                </c:pt>
                <c:pt idx="2">
                  <c:v>Julio</c:v>
                </c:pt>
                <c:pt idx="3">
                  <c:v>Agosto</c:v>
                </c:pt>
                <c:pt idx="4">
                  <c:v>Septiembre</c:v>
                </c:pt>
                <c:pt idx="5">
                  <c:v>Octubre</c:v>
                </c:pt>
                <c:pt idx="6">
                  <c:v>Noviembre</c:v>
                </c:pt>
                <c:pt idx="7">
                  <c:v>Diciembre</c:v>
                </c:pt>
                <c:pt idx="8">
                  <c:v>ene-15</c:v>
                </c:pt>
                <c:pt idx="9">
                  <c:v>Febrero</c:v>
                </c:pt>
                <c:pt idx="10">
                  <c:v>Marzo</c:v>
                </c:pt>
                <c:pt idx="11">
                  <c:v>Abril</c:v>
                </c:pt>
                <c:pt idx="12">
                  <c:v>Mayo</c:v>
                </c:pt>
                <c:pt idx="13">
                  <c:v>Mayo (II)</c:v>
                </c:pt>
                <c:pt idx="14">
                  <c:v>Junio</c:v>
                </c:pt>
                <c:pt idx="15">
                  <c:v>Julio</c:v>
                </c:pt>
                <c:pt idx="16">
                  <c:v>Agosto</c:v>
                </c:pt>
                <c:pt idx="17">
                  <c:v>Septiembre</c:v>
                </c:pt>
                <c:pt idx="18">
                  <c:v>Sep (II)</c:v>
                </c:pt>
                <c:pt idx="19">
                  <c:v>Octubre</c:v>
                </c:pt>
                <c:pt idx="20">
                  <c:v>Oct (II)</c:v>
                </c:pt>
                <c:pt idx="21">
                  <c:v>Noviembre</c:v>
                </c:pt>
                <c:pt idx="22">
                  <c:v>Nov (II)</c:v>
                </c:pt>
                <c:pt idx="23">
                  <c:v>Nov (III)</c:v>
                </c:pt>
                <c:pt idx="24">
                  <c:v>Diciembre</c:v>
                </c:pt>
                <c:pt idx="25">
                  <c:v>Dic (II)</c:v>
                </c:pt>
                <c:pt idx="26">
                  <c:v>Dic (III)</c:v>
                </c:pt>
                <c:pt idx="27">
                  <c:v>17D</c:v>
                </c:pt>
                <c:pt idx="28">
                  <c:v>18D</c:v>
                </c:pt>
                <c:pt idx="29">
                  <c:v>19D</c:v>
                </c:pt>
                <c:pt idx="30">
                  <c:v>ELECCIONES </c:v>
                </c:pt>
                <c:pt idx="31">
                  <c:v>ene-16</c:v>
                </c:pt>
                <c:pt idx="32">
                  <c:v>Febrero</c:v>
                </c:pt>
                <c:pt idx="33">
                  <c:v>Marzo</c:v>
                </c:pt>
                <c:pt idx="34">
                  <c:v>Abril</c:v>
                </c:pt>
                <c:pt idx="35">
                  <c:v>Abril (II)</c:v>
                </c:pt>
                <c:pt idx="36">
                  <c:v>Mayo</c:v>
                </c:pt>
              </c:strCache>
            </c:strRef>
          </c:cat>
          <c:val>
            <c:numRef>
              <c:f>Hoja1!$H$2:$H$38</c:f>
              <c:numCache>
                <c:formatCode>General</c:formatCode>
                <c:ptCount val="37"/>
                <c:pt idx="31">
                  <c:v>26</c:v>
                </c:pt>
                <c:pt idx="32">
                  <c:v>25.2</c:v>
                </c:pt>
                <c:pt idx="33">
                  <c:v>25.5</c:v>
                </c:pt>
                <c:pt idx="34">
                  <c:v>25.4</c:v>
                </c:pt>
                <c:pt idx="35">
                  <c:v>25.7</c:v>
                </c:pt>
                <c:pt idx="36">
                  <c:v>26</c:v>
                </c:pt>
              </c:numCache>
            </c:numRef>
          </c:val>
        </c:ser>
        <c:marker val="1"/>
        <c:axId val="87744512"/>
        <c:axId val="87746816"/>
      </c:lineChart>
      <c:catAx>
        <c:axId val="87744512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1050" b="1">
                <a:latin typeface="Copperplate Gothic Light" pitchFamily="34" charset="0"/>
              </a:defRPr>
            </a:pPr>
            <a:endParaRPr lang="es-ES"/>
          </a:p>
        </c:txPr>
        <c:crossAx val="87746816"/>
        <c:crosses val="autoZero"/>
        <c:auto val="1"/>
        <c:lblAlgn val="ctr"/>
        <c:lblOffset val="100"/>
      </c:catAx>
      <c:valAx>
        <c:axId val="87746816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b="1"/>
            </a:pPr>
            <a:endParaRPr lang="es-ES"/>
          </a:p>
        </c:txPr>
        <c:crossAx val="87744512"/>
        <c:crosses val="autoZero"/>
        <c:crossBetween val="between"/>
      </c:valAx>
      <c:spPr>
        <a:ln>
          <a:solidFill>
            <a:schemeClr val="bg1"/>
          </a:solidFill>
        </a:ln>
      </c:spPr>
    </c:plotArea>
    <c:plotVisOnly val="1"/>
  </c:chart>
  <c:spPr>
    <a:ln>
      <a:solidFill>
        <a:schemeClr val="bg1"/>
      </a:solidFill>
    </a:ln>
  </c:spPr>
  <c:externalData r:id="rId1"/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2F37C0-2220-40A5-9805-6922E1E26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DC 7700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COMPAQ DC 7700</dc:creator>
  <cp:keywords/>
  <dc:description/>
  <cp:lastModifiedBy>HP COMPAQ DC 7700</cp:lastModifiedBy>
  <cp:revision>2</cp:revision>
  <dcterms:created xsi:type="dcterms:W3CDTF">2016-04-30T15:08:00Z</dcterms:created>
  <dcterms:modified xsi:type="dcterms:W3CDTF">2016-04-30T15:08:00Z</dcterms:modified>
</cp:coreProperties>
</file>